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16" w:rsidRPr="00CD5316" w:rsidRDefault="00CD5316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1  </w:t>
      </w:r>
    </w:p>
    <w:p w:rsidR="00CD5316" w:rsidRPr="00CD5316" w:rsidRDefault="00CD5316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</w:t>
      </w:r>
      <w:r w:rsidRPr="00CD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порядке взаимодействия </w:t>
      </w:r>
    </w:p>
    <w:p w:rsidR="00CD5316" w:rsidRPr="00CD5316" w:rsidRDefault="00DD0C6F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заказчиков города Лыткарино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CD5316" w:rsidRPr="00CD5316" w:rsidRDefault="00DD0C6F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уполномоченным учреждением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proofErr w:type="gramEnd"/>
    </w:p>
    <w:p w:rsidR="00CD5316" w:rsidRDefault="00DD0C6F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определение поставщиков (подрядчиков, исполнителей)</w:t>
      </w:r>
    </w:p>
    <w:p w:rsidR="00DD0C6F" w:rsidRPr="00CD5316" w:rsidRDefault="00DD0C6F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left="1134" w:hanging="21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 О </w:t>
      </w:r>
      <w:proofErr w:type="gramStart"/>
      <w:r w:rsidRPr="00CD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CD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 А   З А Я В К И</w:t>
      </w:r>
    </w:p>
    <w:p w:rsidR="00CD5316" w:rsidRPr="00CD5316" w:rsidRDefault="00CD5316" w:rsidP="00CD5316">
      <w:pPr>
        <w:spacing w:after="0" w:line="240" w:lineRule="auto"/>
        <w:ind w:left="1134" w:hanging="21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left="1134" w:hanging="21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left="1134" w:hanging="21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left="1134" w:hanging="21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/Н А   Б Л А Н К Е   У Ч </w:t>
      </w:r>
      <w:proofErr w:type="gramStart"/>
      <w:r w:rsidRPr="00CD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CD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 Ж Д Е Н И Я/</w:t>
      </w:r>
    </w:p>
    <w:p w:rsidR="00CD5316" w:rsidRPr="00CD5316" w:rsidRDefault="00CD5316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Исх. № ____ Дата ______                                                        </w:t>
      </w:r>
    </w:p>
    <w:tbl>
      <w:tblPr>
        <w:tblW w:w="3606" w:type="dxa"/>
        <w:tblInd w:w="5832" w:type="dxa"/>
        <w:tblLook w:val="0000"/>
      </w:tblPr>
      <w:tblGrid>
        <w:gridCol w:w="3606"/>
      </w:tblGrid>
      <w:tr w:rsidR="00CD5316" w:rsidRPr="00CD5316" w:rsidTr="003A220D">
        <w:trPr>
          <w:trHeight w:val="601"/>
        </w:trPr>
        <w:tc>
          <w:tcPr>
            <w:tcW w:w="3606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31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 МКУ «Комитет по торгам города Лыткарино»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316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CD5316" w:rsidRPr="00CD5316" w:rsidRDefault="00CD5316" w:rsidP="00CD53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</w:p>
    <w:p w:rsidR="00CD5316" w:rsidRPr="00CD5316" w:rsidRDefault="00CD5316" w:rsidP="00CD5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D5316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определение поставщика (подрядчика, исполнителя)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заказчика)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Вас определить _________________________________________________________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(поставщика, подрядчика, исполнителя)</w:t>
      </w:r>
    </w:p>
    <w:p w:rsidR="00CD5316" w:rsidRPr="00CD5316" w:rsidRDefault="00CD5316" w:rsidP="00CD53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__________________________________________________________________________</w:t>
      </w:r>
    </w:p>
    <w:p w:rsidR="00CD5316" w:rsidRPr="00CD5316" w:rsidRDefault="00CD5316" w:rsidP="00CD531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(поставку товаров, выполнение работ, оказание услуг)</w:t>
      </w:r>
    </w:p>
    <w:p w:rsidR="00CD5316" w:rsidRPr="00CD5316" w:rsidRDefault="00CD5316" w:rsidP="00CD5316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товара, работ, услуг)</w:t>
      </w:r>
    </w:p>
    <w:p w:rsidR="00CD5316" w:rsidRPr="00CD5316" w:rsidRDefault="00CD5316" w:rsidP="00CD53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Конкурентным способом определения поставщиков (подрядчиков, исполнителей) ______________________________________________________________________________</w:t>
      </w:r>
    </w:p>
    <w:p w:rsidR="00CD5316" w:rsidRPr="00CD5316" w:rsidRDefault="00CD5316" w:rsidP="00CD53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CD5316" w:rsidRPr="00CD5316" w:rsidRDefault="00CD5316" w:rsidP="00CD531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(электронный аукцион, открытый конкурс, конкурс с ограниченным участием, запрос котировок, запрос предложений, предварительный отбор)</w:t>
      </w:r>
    </w:p>
    <w:p w:rsidR="00CD5316" w:rsidRPr="00CD5316" w:rsidRDefault="00CD5316" w:rsidP="00CD53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6319"/>
      </w:tblGrid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Заказчика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Указывается:                 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наименование заказчика;    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место нахождения, почтовый адрес;            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номер контактного телефона;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адрес электронной почты (при наличии);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ФИО должностного лица, ответственного за взаимодействие с уполномоченным </w:t>
            </w:r>
            <w:r w:rsidR="00DD0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учреждением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Ф.И.О. контрактного управляющего (сотрудника контрактной службы), ответственного за заключение контракта (номер контактного телефона данного лица).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поставки товаров, выполнения работ, оказания услуг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адрес, место нахождения получателя товара (выполнения работ, оказания услуг).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(периоды) поставки товаров, выполнения работ, оказания услуг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сроки (периоды) поставки товаров, выполнения работ, оказания услуг.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поставки товаров, выполнения работ, оказания услуг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условия поставки товара (разгрузка, погрузка, упаковка), условия выполнения работ, оказания услуг</w:t>
            </w:r>
            <w:r w:rsidR="00DD0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документы передаются вместе с товаром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(технический паспорт, сертификат качества, инструкция по эксплуатации и.т.п.).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Указывается порядок осуществления приемки поставленных товаров, выполняемых работ, оказываемых услуг на соответствие их количества, комплектности, объема и качества. 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потребности в планируемой закупке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Порядковый номер процедуры в реестре плана-графика в ЕАСУЗ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Начальная    максимальная     цена контракта (цена лота)         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цифрами и прописью в рублях.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начальной максимальной цены контракта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к Заявке прилагает:</w:t>
            </w:r>
          </w:p>
          <w:p w:rsidR="00CD5316" w:rsidRPr="00CD5316" w:rsidRDefault="00CD5316" w:rsidP="00CD53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Расчет начальной максимальной цены контракта, 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согласно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методических рекомендаций по применению методов определения начальной (максимальной) цены контракта (утв. </w:t>
            </w:r>
            <w:hyperlink w:anchor="sub_0" w:history="1">
              <w:r w:rsidRPr="00CD5316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приказом</w:t>
              </w:r>
            </w:hyperlink>
            <w:r w:rsidRPr="00CD53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Министерства экономического развития РФ от 2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D5316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2013 г</w:t>
              </w:r>
            </w:smartTag>
            <w:r w:rsidRPr="00CD53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№ 567), с указанием выбранного метода определения и обоснования начальной максимальной цены муниципального контракта или контракта, по форме, указанной в вышеуказанных методических рекомендациях.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Обоснование начальной максимальной цены контракта Заказчик предоставляет уполномоченному </w:t>
            </w:r>
            <w:r w:rsidR="00DD0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учреждению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определение поставщика (подрядчика, исполнителя) также и в электронном виде.</w:t>
            </w:r>
          </w:p>
          <w:p w:rsidR="00CD5316" w:rsidRPr="00CD5316" w:rsidRDefault="00CD5316" w:rsidP="00CD5316">
            <w:pPr>
              <w:numPr>
                <w:ilvl w:val="0"/>
                <w:numId w:val="1"/>
              </w:numPr>
              <w:spacing w:after="0" w:line="240" w:lineRule="auto"/>
              <w:ind w:hanging="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Следующую информацию и документы: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на поставку товаров, оказание услуг: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 Если источником информации о ценах являются сведения от Поставщиков (Исполнителей), то ответы на запросы о ценах от Поставщиков (Исполнителей) не менее 3 участников исследования рынка.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Если источником информации о ценах является реестр контрактов, то соответствующие номера реестровых записей в реестре контрактов.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Если источником информации о ценах являются данные из информационно-коммуникационной сети «Интернет», то указывается адрес соответствующей странички в информационно-коммуникационной сети «Интернет» и графическое изображение снимка экрана («</w:t>
            </w:r>
            <w:proofErr w:type="spellStart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</w:t>
            </w:r>
            <w:proofErr w:type="spellEnd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соответствующей страницы), с указанием даты и времени их формирования.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на выполнение работ:</w:t>
            </w:r>
          </w:p>
          <w:p w:rsidR="00CD5316" w:rsidRPr="00CD5316" w:rsidRDefault="00CD5316" w:rsidP="00DD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Обоснованием начальной максимальной цены муниципального контракта является </w:t>
            </w:r>
            <w:r w:rsidRPr="00CD5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локальная смета или сводный сметный расчет проектно-сметной документации.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код закупки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 указывается с 01.01.2016 года.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Программа; подпрограмма, мероприятие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ОКПД текущего года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код (коды) продукции, работ, услуг на основе кода бюджетной классификации (Указания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порядке применения бюджетной классификации Российской Федерации (утв. </w:t>
            </w:r>
            <w:hyperlink w:anchor="sub_0" w:history="1">
              <w:r w:rsidRPr="00CD53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Минфина РФ от 01.07.2013 № 65н) кодов общероссийских классификаторов.</w:t>
            </w:r>
            <w:proofErr w:type="gramEnd"/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ОКВЭД текущего года  –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классификатор видов экономической деятельности ОК 029-2001 (КДЕС РЕД. 1) – до 31.12.2014г. С 01.01.2015г. – ОК 029-2014 (КДЕС РЕД.2) Коды ОКВЭД применяются при регистрации юридических лиц и индивидуальных предпринимателей. Форма собственности хозяйствующих субъектов не имеет значения. Классификатор предназначен для статистического учета, стандартизации и кодирования видов экономической деятельности (некоторые виды деятельности требуют лицензирования).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 с указанием суммы по каждому источнику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источник бюджета: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_______________________________.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Порядок формирования цены контракта  (цены лота)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Указываются: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сведения о включенных (не включенных) в цену контракта расходах: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стоимость самого товара, работ, услуг;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стоимость материалов (на выполнение работ, оказание услуг);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- стоимость монтажа, наладки, обучение специалистов  (при необходимости);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стоимость транспортировки, упаковки, доставки, разгрузки, гарантийное обслуживание (при необходимости);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-страхование, уплату</w:t>
            </w: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>таможенных  пошлин,  налогов  и  других обязательных платежей.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Форма, сроки, порядок оплаты товаров, работ, услуг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Указываются ф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орма, сроки, порядок оплаты товаров, работ, услуг </w:t>
            </w:r>
            <w:r w:rsidRPr="00CD53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(дублируется пункт из контракта, где прописана информация о порядке оплаты).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Сведения о возможности заказчика изменить предусмотренные контрактом количество товаров 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Примечание</w:t>
            </w: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указывается при осуществлении закупки в соответствии со ст. 34 и ст.95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Сведения о возможности заказчика увеличить количество поставляемого товара при заключении муниципального контракта  или контракта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Примечание</w:t>
            </w: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указывается при проведении конкурса или аукциона в соответствии     с 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.18 ст.34     Федерального     Закона № 44-ФЗ.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сроку  и  (или)  объему предоставления   гарантий   качества товара, работ, услуг, к обслуживанию товара, к расходам  на  эксплуатацию товара (при необходимости)          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требования к сроку и (или) объему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предоставления   гарантий   качества товара, работ, услуг, к обслуживанию товара, к расходам  на  эксплуатацию товара (при необходимости).          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Описание закупки и  количество поставляемых     товаров,      объем выполняемых работ, оказываемых услуг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 описании закупки заказчик руководствуется ст. 33 Федерального Закона № 44-ФЗ.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Указывается: 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поставляемого товара, объем выполняемых работ, оказываемых услуг;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требования  к  качеству,  техническим характеристикам  товара,  работ,  услуг, требования к их безопасности;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требования к функциональным характеристикам (потребительским свойствам) товара;           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требования к размерам, упаковке, отгрузке товара;             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требования к результатам работ;</w:t>
            </w:r>
            <w:r w:rsidRPr="00CD53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</w:t>
            </w:r>
            <w:r w:rsidRPr="00CD53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иные показатели,  связанные с определением соответствия поставляемого товара, выполняемых  работ,  оказываемых услуг потребностям заказчика.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3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1. При определении поставщика на поставку сложного, дорогостоящего оборудования и техники, с целью определения наиболее точных характеристик и функциональных качеств закупаемого товара, заказчику в заявке необходимо указать фирменное наименование, наименование производителя, наименование места происхождения оборудования (техники) со словами «или эквивалент».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2. При определении поставщика   на поставку товара, происходящего из иностранного государства или группы иностранных государств Заказчику необходимо указать на товарный знак в отношении товара российского происхождения (при наличии информации о товаре российского происхождения, являющемся эквивалентом товара, происходящего из иностранного государства или группы иностранных государств).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 При определении подрядчика</w:t>
            </w: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выполнение работ  к заявке прилагается Спецификация на товары, указанные в локально сметном расчете или проектно-сметной документации.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утвержденной проектно-сметной документации, экспертизы 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(при необходимости). Предоставляется  на бумажном и электронном носителе, 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согласованное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утвержденное руководителем Заказчика.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участников закупок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 к заявке прилагает Техническое задание или Технические требования в зависимости от типа закупки: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Указываются при проведении конкурса,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аукциона (при наличии)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3211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цена контракта;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3212"/>
            <w:bookmarkEnd w:id="0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расходы на эксплуатацию и ремонт товаров, использование результатов работ;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3213"/>
            <w:bookmarkEnd w:id="1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качественные, функциональные и экологические характеристики объекта закупки;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3214"/>
            <w:bookmarkEnd w:id="2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  <w:bookmarkEnd w:id="3"/>
          </w:p>
          <w:p w:rsidR="00CD5316" w:rsidRPr="00CD5316" w:rsidRDefault="00CD5316" w:rsidP="00CD531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п. 3 ст. 32 заказчик вправе устанавливать в качестве критерия стоимость жизненного цикла товара или созданного в результате выполнения работы объекта, в случаях установленных Правительством Российской Федерации, </w:t>
            </w: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Федеральным  Законом  № 44-ФЗ.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Участие субъектов малого предпринимательства, социально ориентированных некоммерческих организаций в закупках</w:t>
            </w:r>
          </w:p>
          <w:p w:rsidR="00CD5316" w:rsidRPr="00CD5316" w:rsidRDefault="00CD5316" w:rsidP="00CD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(в случае</w:t>
            </w:r>
            <w:proofErr w:type="gramStart"/>
            <w:r w:rsidRPr="00CD53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  <w:proofErr w:type="gramEnd"/>
            <w:r w:rsidRPr="00CD53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если не применяется необходимо указать: «не предусмотрено»)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закупок во исполнение ст. 30 Федерального закона № 44-ФЗ указывается:</w:t>
            </w:r>
          </w:p>
          <w:p w:rsidR="00CD5316" w:rsidRPr="00CD5316" w:rsidRDefault="00CD5316" w:rsidP="00CD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Участниками закупок являются только субъекты малого предпринимательства, социально ориентированные некоммерческие организации.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вправе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Участники закупок должны соответствовать требованиям, установленным: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ст. 4 Федерального закона от 24.07.2007 № 209-ФЗ «О развитии малого и среднего предпринимательства в Российской Федерации»;</w:t>
            </w:r>
          </w:p>
          <w:p w:rsidR="00CD5316" w:rsidRPr="00CD5316" w:rsidRDefault="00CD5316" w:rsidP="00DD0C6F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- </w:t>
            </w:r>
            <w:r w:rsidRPr="00CD5316">
              <w:rPr>
                <w:rFonts w:ascii="Times New Roman" w:eastAsia="Times New Roman" w:hAnsi="Times New Roman" w:cs="Times New Roman"/>
                <w:bCs/>
                <w:iCs/>
                <w:kern w:val="32"/>
                <w:sz w:val="20"/>
                <w:szCs w:val="20"/>
                <w:lang w:eastAsia="ru-RU"/>
              </w:rPr>
              <w:t>ст.31.1 Федерального закона от 12.01.1996 № 7-ФЗ «</w:t>
            </w:r>
            <w:r w:rsidRPr="00CD53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 некоммерческих организациях».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Преимущества  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(в случае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,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если не применяется необходимо указать: «не предусмотрено»)                    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осуществлении закупок во исполнение ст.ст. 28-29 Федерального закона № 44-ФЗ заказчик предоставляет </w:t>
            </w: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преимущества учреждениям и предприятиям уголовно-исполнительной системы и (или) организациям  инвалидов,   осуществляющим   производство   товаров, выполнение   работ,    оказание    услуг,  в  соответствии  с  перечнем товаров,  работ,  услуг,   установленным Правительством Российской Федерации.    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При    этом заказчик обязан   устанавливать преимущества указанным категориям лиц в отношении предлагаемой цены муниципального контакта или контракта в размере до   пятнадцати   процентов   в порядке  и  в  соответствии  с  перечнем товаров,  работ,  услуг,   установленным Правительством Российской Федерации.</w:t>
            </w:r>
            <w:r w:rsidRPr="00CD531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Размер    обеспечения     заявки  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(Указывается в обязательном порядке при проведении электронного аукциона и по усмотрению Заказчика при проведении конкурсов и запроса котировок). 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Примечание</w:t>
            </w: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: </w:t>
            </w: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указывается при проведении конкурса или аукциона.       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 должен составлять от одной второй процента до пяти процентов начальной (максимальной) цены контракта или, если при проведен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начальная (максимальная) цена муниципального контракта или контракта  не превышает три миллиона рублей, один процент начальной (максимальной) цены контракта. Размер устанавливается по усмотрению Заказчика.</w:t>
            </w:r>
          </w:p>
          <w:p w:rsidR="00CD5316" w:rsidRPr="00CD5316" w:rsidRDefault="00CD5316" w:rsidP="00DD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закупка осуществляется у субъектов малого предпринимательства, социально ориентированных некоммерческих 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предприятий уголовно-исполнительной системы, организаций инвалидов, и участником закупки является вышеуказанное учреждение, организация, предприятие, размер обеспечения заявки не может превышать два процента начальной (максимальной) цены муниципального  контракта</w:t>
            </w:r>
            <w:r w:rsidR="00DD0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Реквизиты      для      перечисления</w:t>
            </w: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br/>
              <w:t>обеспечения               заявки и исполнения контракта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указывает: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счет, лицевой счет, БИК.</w:t>
            </w:r>
            <w:r w:rsidRPr="00CD53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Размер    обеспечения     исполнения контракта 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(Указывается в обязательном порядке при проведении электронного аукциона и по усмотрению Заказчика при проведении конкурсов и запроса котировок).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Примечание</w:t>
            </w: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: </w:t>
            </w: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указывается при проведении конкурса или аукциона.       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муниципального контракта или контракта должен составлять от пяти до тридцати процентов начальной максимальной цены муниципального контракта или контракта.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исполнения муниципального контракта или контракта может обеспечиваться предоставлением банковской гарантии, выданной банком или внесением денежных средств. 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если начальная максимальная цена   контракта   (цена лота)  превышает   пятьдесят   миллионов рублей, обеспечение исполнения контракта  должно быть  установлено  в  размере  от десяти до тридцати  процентов начальной максимальной  цены  контракта (цены лота), но не менее чем в размере  аванса (если контрактом   предусмотрена  выплата аванса).</w:t>
            </w:r>
            <w:r w:rsidRPr="00CD531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Срок возврата обеспечения исполнения контракта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указывает срок возврата денежных средств, внесенных в качестве обеспечения исполнения контракта победителем, в случае надлежащего исполнения победителем своих обязательств по контракту.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Расторжение контракта 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вправе</w:t>
            </w: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решение об одностороннем отказе от исполнения контракта по основаниям, предусмотренным </w:t>
            </w:r>
            <w:hyperlink r:id="rId5" w:history="1">
              <w:r w:rsidRPr="00CD531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Гражданским кодексом</w:t>
              </w:r>
            </w:hyperlink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для одностороннего отказа от исполнения отдельных видов обязательств, указав о своем решении (</w:t>
            </w:r>
            <w:proofErr w:type="gramStart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данного условия в муниципальном контракте) в заявке на определение поставщика (подрядчика, исполнителя).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заказчика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Указывается:</w:t>
            </w: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ИНН/КПП, расчетный счет, лицевой счет, корреспондентский счет, наименование кредитной организации, БИК.</w:t>
            </w:r>
          </w:p>
        </w:tc>
      </w:tr>
      <w:tr w:rsidR="00CD5316" w:rsidRPr="00CD5316" w:rsidTr="003A220D">
        <w:tc>
          <w:tcPr>
            <w:tcW w:w="3321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Приложения, являющиеся неотъемлемой частью настоящей Заявки</w:t>
            </w:r>
          </w:p>
        </w:tc>
        <w:tc>
          <w:tcPr>
            <w:tcW w:w="6319" w:type="dxa"/>
          </w:tcPr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все прилагаемые документы</w:t>
            </w:r>
          </w:p>
        </w:tc>
      </w:tr>
    </w:tbl>
    <w:p w:rsidR="00CD5316" w:rsidRPr="00CD5316" w:rsidRDefault="00CD5316" w:rsidP="00CD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                                                                                            _________________ (И.О. Фамилия)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CD531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                                                                                             _________________ (И.О. Фамилия)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CD531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Главы Администрации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Лыткарино, </w:t>
      </w:r>
      <w:proofErr w:type="gramStart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курирующий</w:t>
      </w:r>
      <w:proofErr w:type="gramEnd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соответствующее направление                                                                          _________________ (И.О. Фамилия)</w:t>
      </w:r>
    </w:p>
    <w:p w:rsidR="00CD5316" w:rsidRPr="00CD5316" w:rsidRDefault="00CD5316" w:rsidP="00CD5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CD531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D5316" w:rsidRPr="00CD5316" w:rsidRDefault="00CD5316" w:rsidP="00CD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16" w:rsidRPr="00CD5316" w:rsidRDefault="00CD5316" w:rsidP="00CD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16" w:rsidRPr="00CD5316" w:rsidRDefault="00CD5316" w:rsidP="00CD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316" w:rsidRPr="00CD5316" w:rsidRDefault="00CD5316" w:rsidP="00CD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316" w:rsidRPr="00CD5316" w:rsidRDefault="00CD5316" w:rsidP="00CD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5316" w:rsidRPr="00CD5316" w:rsidRDefault="000C5324" w:rsidP="00CD53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</w:t>
      </w:r>
      <w:r w:rsidR="00CD5316" w:rsidRPr="00CD5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риложение 2  </w:t>
      </w:r>
    </w:p>
    <w:p w:rsidR="000C5324" w:rsidRPr="00CD5316" w:rsidRDefault="000C5324" w:rsidP="000C5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</w:t>
      </w:r>
      <w:r w:rsidRPr="00CD53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порядке взаимодействия </w:t>
      </w:r>
    </w:p>
    <w:p w:rsidR="000C5324" w:rsidRPr="00CD5316" w:rsidRDefault="000C5324" w:rsidP="000C5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заказчиков города Лыткарино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0C5324" w:rsidRPr="00CD5316" w:rsidRDefault="000C5324" w:rsidP="000C5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уполномоченным учреждением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proofErr w:type="gramEnd"/>
    </w:p>
    <w:p w:rsidR="000C5324" w:rsidRDefault="000C5324" w:rsidP="000C5324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определение поставщиков (подрядчиков, исполнителей)</w:t>
      </w:r>
    </w:p>
    <w:p w:rsidR="00CD5316" w:rsidRPr="00CD5316" w:rsidRDefault="00CD5316" w:rsidP="00CD5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316" w:rsidRPr="00CD5316" w:rsidRDefault="00CD5316" w:rsidP="00CD5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spellEnd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proofErr w:type="spellStart"/>
      <w:proofErr w:type="gramStart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 xml:space="preserve"> м а   с л у ж е б </w:t>
      </w:r>
      <w:proofErr w:type="spellStart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proofErr w:type="spellStart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spellStart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 xml:space="preserve"> а </w:t>
      </w:r>
      <w:proofErr w:type="spellStart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Pr="00CD5316">
        <w:rPr>
          <w:rFonts w:ascii="Times New Roman" w:eastAsia="Times New Roman" w:hAnsi="Times New Roman" w:cs="Times New Roman"/>
          <w:color w:val="000000"/>
          <w:lang w:eastAsia="ru-RU"/>
        </w:rPr>
        <w:t xml:space="preserve"> и с к и</w:t>
      </w:r>
    </w:p>
    <w:tbl>
      <w:tblPr>
        <w:tblW w:w="0" w:type="auto"/>
        <w:tblLook w:val="04A0"/>
      </w:tblPr>
      <w:tblGrid>
        <w:gridCol w:w="5387"/>
        <w:gridCol w:w="3963"/>
      </w:tblGrid>
      <w:tr w:rsidR="00CD5316" w:rsidRPr="00CD5316" w:rsidTr="003A220D">
        <w:trPr>
          <w:trHeight w:val="1370"/>
        </w:trPr>
        <w:tc>
          <w:tcPr>
            <w:tcW w:w="5387" w:type="dxa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________20__ года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5316" w:rsidRPr="00CD5316" w:rsidRDefault="00CD5316" w:rsidP="00CD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vAlign w:val="center"/>
          </w:tcPr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31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 МКУ «Комитет по торгам города Лыткарино»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16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CD5316" w:rsidRPr="00CD5316" w:rsidRDefault="00CD5316" w:rsidP="00CD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Служебная записка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определение поставщика (исполнителя, подрядчика)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53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D5316" w:rsidRPr="00CD5316" w:rsidRDefault="00CD5316" w:rsidP="00CD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организовать определение __________________(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поставщика, подрядчика, исполнителя</w:t>
      </w: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путем проведения/осуществления закупки ____________________(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электронного аукциона, открытого конкурса, конкурса с ограниченным участием, запроса котировок, запроса предложений, предварительного отбора, в соответствии со </w:t>
      </w:r>
      <w:r w:rsidRPr="00CD53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ст.93 (указать пункт и часть</w:t>
      </w:r>
      <w:r w:rsidRPr="00CD5316">
        <w:rPr>
          <w:rFonts w:ascii="Calibri" w:eastAsia="Calibri" w:hAnsi="Calibri" w:cs="Times New Roman"/>
          <w:sz w:val="20"/>
          <w:szCs w:val="20"/>
        </w:rPr>
        <w:t xml:space="preserve"> </w:t>
      </w:r>
      <w:r w:rsidRPr="00CD53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ст.93) </w:t>
      </w:r>
      <w:r w:rsidRPr="00CD531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ru-RU"/>
        </w:rPr>
        <w:t>Федерального закона от 5 апреля 2013 г. № 44-ФЗ</w:t>
      </w:r>
      <w:r w:rsidRPr="00CD531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D531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нужд")</w:t>
      </w: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proofErr w:type="gramEnd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муниципального контракта на _________________(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закупки).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Минимальные требования: ______________(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п.1.1 раздела 1 «предмет Контракта»)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оказания услуг: ________________________.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(максимальная) цена муниципального контракта – ____________ рублей определена с использованием метода _____________(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выбрать метод в соответствии со ст.22 ФЗ №44) </w:t>
      </w: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Обоснованием начальной (максимальной) цены контракта</w:t>
      </w:r>
      <w:r w:rsidR="000C53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5316" w:rsidRPr="00CD5316" w:rsidRDefault="00CD5316" w:rsidP="00CD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оказания услуг:   ____________________.</w:t>
      </w:r>
    </w:p>
    <w:p w:rsidR="00CD5316" w:rsidRPr="00CD5316" w:rsidRDefault="00CD5316" w:rsidP="00CD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срок размещения – ___________.</w:t>
      </w:r>
    </w:p>
    <w:p w:rsidR="00CD5316" w:rsidRPr="00CD5316" w:rsidRDefault="00CD5316" w:rsidP="00CD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</w:t>
      </w:r>
      <w:proofErr w:type="spellStart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оплаты:_______________</w:t>
      </w:r>
      <w:proofErr w:type="spellEnd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пункт 2.2 раздела 2 «Стоимость Контракта и порядок расчетов»)</w:t>
      </w:r>
      <w:proofErr w:type="gramStart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CD5316" w:rsidRPr="00CD5316" w:rsidRDefault="00CD5316" w:rsidP="00CD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расходов осуществляется из средств ____________ бюджета.</w:t>
      </w:r>
    </w:p>
    <w:p w:rsidR="00CD5316" w:rsidRPr="00CD5316" w:rsidRDefault="00CD5316" w:rsidP="00CD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Программа:___________________________________________________________.</w:t>
      </w:r>
    </w:p>
    <w:p w:rsidR="00CD5316" w:rsidRPr="00CD5316" w:rsidRDefault="00CD5316" w:rsidP="00CD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Подрограмма:_________________________________________________________.</w:t>
      </w:r>
    </w:p>
    <w:p w:rsidR="00CD5316" w:rsidRPr="00CD5316" w:rsidRDefault="00CD5316" w:rsidP="00CD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Мероприятие:_________________________________________________________.</w:t>
      </w:r>
    </w:p>
    <w:p w:rsidR="00CD5316" w:rsidRPr="00CD5316" w:rsidRDefault="00CD5316" w:rsidP="00CD531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</w:t>
      </w:r>
      <w:proofErr w:type="gramStart"/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___-____-________-____-____.</w:t>
      </w:r>
      <w:proofErr w:type="gramEnd"/>
    </w:p>
    <w:p w:rsidR="00CD5316" w:rsidRPr="00CD5316" w:rsidRDefault="00CD5316" w:rsidP="00CD531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ОКПД ___.___.___._____. 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ОКВЭД ___.___. 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Контрактный управляющий – </w:t>
      </w: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заместитель Главы Администрации города Лыткарино</w:t>
      </w: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курирующий соответствующее направление (Ф.И.О.).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Приложения: №1 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Техническое задание (в зависимости от предмета закупки)</w:t>
      </w: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№2 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Проект контракта;</w:t>
      </w:r>
    </w:p>
    <w:p w:rsidR="00CD5316" w:rsidRPr="00CD5316" w:rsidRDefault="00CD5316" w:rsidP="00CD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№3 </w:t>
      </w:r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Обоснование НМЦК и т.д</w:t>
      </w:r>
      <w:proofErr w:type="gramStart"/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.(</w:t>
      </w:r>
      <w:proofErr w:type="gramEnd"/>
      <w:r w:rsidRPr="00CD53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зависимости от предмета закупки).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Начальник отдела                                                                                              _________________ (И.О. Фамилия)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CD53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Главный бухгалтер                                                                                            _________________ (И.О. Фамилия)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CD53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Заместитель Главы Администрации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города Лыткарино, </w:t>
      </w:r>
      <w:proofErr w:type="gramStart"/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курирующий</w:t>
      </w:r>
      <w:proofErr w:type="gramEnd"/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соответствующее направление                                                                       _________________ (И.О. Фамилия)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D53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CD53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(подпись)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Главы Администрации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Лыткарино                                                                                           ____________________ Л.С. Иванова</w:t>
      </w:r>
    </w:p>
    <w:p w:rsidR="00CD5316" w:rsidRPr="00CD5316" w:rsidRDefault="00CD5316" w:rsidP="00CD53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CD531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FA2996" w:rsidRDefault="00FA2996">
      <w:bookmarkStart w:id="4" w:name="_GoBack"/>
      <w:bookmarkEnd w:id="4"/>
    </w:p>
    <w:sectPr w:rsidR="00FA2996" w:rsidSect="00722E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DAD"/>
    <w:multiLevelType w:val="hybridMultilevel"/>
    <w:tmpl w:val="91D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316"/>
    <w:rsid w:val="000C5324"/>
    <w:rsid w:val="009501F0"/>
    <w:rsid w:val="00CD5316"/>
    <w:rsid w:val="00DD0C6F"/>
    <w:rsid w:val="00FA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1</cp:lastModifiedBy>
  <cp:revision>3</cp:revision>
  <dcterms:created xsi:type="dcterms:W3CDTF">2015-10-30T13:42:00Z</dcterms:created>
  <dcterms:modified xsi:type="dcterms:W3CDTF">2015-10-30T14:02:00Z</dcterms:modified>
</cp:coreProperties>
</file>