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38" w:rsidRDefault="00324538" w:rsidP="003245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324538" w:rsidRDefault="00324538" w:rsidP="003245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АНТИНАРКОТИЧЕСКОЙ КОМИССИИ</w:t>
      </w:r>
    </w:p>
    <w:p w:rsidR="00324538" w:rsidRDefault="00324538" w:rsidP="003245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ЛЫТКАРИНО</w:t>
      </w:r>
    </w:p>
    <w:p w:rsidR="00324538" w:rsidRDefault="00324538" w:rsidP="003245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</w:t>
      </w:r>
    </w:p>
    <w:p w:rsidR="00324538" w:rsidRDefault="00324538" w:rsidP="00324538">
      <w:pPr>
        <w:jc w:val="center"/>
        <w:rPr>
          <w:sz w:val="24"/>
          <w:szCs w:val="24"/>
        </w:rPr>
      </w:pP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Антинаркотическая комиссия в городе Лыткарино Московской области (далее Комиссия) является органом, осуществляющим во взаимодействии с подразделениями территориальных органов федеральных органов исполнительной власти координацию деятельности органов местного самоуправления и органов Администрации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Уставом Московской области, законами Московской области, иными нормативными правовыми актами Московской области, решениями Государственного </w:t>
      </w:r>
      <w:proofErr w:type="spellStart"/>
      <w:r>
        <w:rPr>
          <w:sz w:val="24"/>
          <w:szCs w:val="24"/>
        </w:rPr>
        <w:t>антинаркотического</w:t>
      </w:r>
      <w:proofErr w:type="spellEnd"/>
      <w:r>
        <w:rPr>
          <w:sz w:val="24"/>
          <w:szCs w:val="24"/>
        </w:rPr>
        <w:t xml:space="preserve"> комитета и Антинаркотической комиссии в Московской области, а также настоящим Положением.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Руководителем Комиссии по Уставу города Лыткарино по должности является Глава города (председатель Комиссии).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Комиссия осуществляет свою деятельность во взаимодействии с подразделениями территориальных органов федеральных органов исполнительной власти Московской области, органами государственной власти Московской области, Антинаркотической комиссией в Московской области, органами местного самоуправления муниципальных образований Московской области, организациями и общественными объединениями.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Основными задачами Комиссии являются: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участие в формировании и реализации на территории города Лыткарино Московской области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 xml:space="preserve">, подготовка предложение в </w:t>
      </w:r>
      <w:proofErr w:type="spellStart"/>
      <w:r>
        <w:rPr>
          <w:sz w:val="24"/>
          <w:szCs w:val="24"/>
        </w:rPr>
        <w:t>Антинаркотическую</w:t>
      </w:r>
      <w:proofErr w:type="spellEnd"/>
      <w:r>
        <w:rPr>
          <w:sz w:val="24"/>
          <w:szCs w:val="24"/>
        </w:rPr>
        <w:t xml:space="preserve"> комиссию в Московской области по совершенствованию законодательства Московской области в этой области, а также представление ежегодных докладов о деятельности Комиссии;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координация деятельности органов местного самоуправления и органов Администрации города Лыткарино Московской области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а также организация их взаимодействия с общественными объединениями и организациями;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в том числе на профилактику этого оборота, а также на повышение эффективности реализации муниципальных целевых программ в этой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анализ эффективности на территории города Лыткарино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подготовка предложение по совершенствованию этой работы;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сотрудничество с </w:t>
      </w:r>
      <w:proofErr w:type="spellStart"/>
      <w:r>
        <w:rPr>
          <w:sz w:val="24"/>
          <w:szCs w:val="24"/>
        </w:rPr>
        <w:t>антинаркотическими</w:t>
      </w:r>
      <w:proofErr w:type="spellEnd"/>
      <w:r>
        <w:rPr>
          <w:sz w:val="24"/>
          <w:szCs w:val="24"/>
        </w:rPr>
        <w:t xml:space="preserve"> комиссиями других муниципальных образований Московской области и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в том числе подготовка соответствующих решений;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подготовка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ж) решение иных задача, предусмотренных законодательством Российской Федерации и Московской области о наркотических средствах, психотропных веществах и их </w:t>
      </w:r>
      <w:proofErr w:type="spellStart"/>
      <w:r>
        <w:rPr>
          <w:sz w:val="24"/>
          <w:szCs w:val="24"/>
        </w:rPr>
        <w:t>прекурсорах</w:t>
      </w:r>
      <w:proofErr w:type="spellEnd"/>
      <w:r>
        <w:rPr>
          <w:sz w:val="24"/>
          <w:szCs w:val="24"/>
        </w:rPr>
        <w:t>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Персональный состав Комисс</w:t>
      </w:r>
      <w:proofErr w:type="gramStart"/>
      <w:r>
        <w:rPr>
          <w:sz w:val="24"/>
          <w:szCs w:val="24"/>
        </w:rPr>
        <w:t>ии и её</w:t>
      </w:r>
      <w:proofErr w:type="gramEnd"/>
      <w:r>
        <w:rPr>
          <w:sz w:val="24"/>
          <w:szCs w:val="24"/>
        </w:rPr>
        <w:t xml:space="preserve"> аппарата определяются постановлением Главы города Лыткарино Московской области.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Комиссии в обязательном порядке включаются: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Глава города Лыткарино Московской области (председатель комиссии);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Заместитель Главы (руководитель подразделения), курирующий вопросы безопасности на территории города Лыткарино Московской области (заместитель председателя Комиссии);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территориального подразделения Управления ФСКН России по Московской области (заместитель председателя Комиссии);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территориального подразделения ГУВД по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территориального подразделения Управления ФСБ России по 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оскве и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органа образования города Лыткарино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органа здравоохранения города Лыткарино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Руководитель органа по делам молодежи города Лыткарино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Председатель Комиссии по делам несовершеннолетних и защите их прав города Лыткарино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Представитель Совета Депутатов города Лыткарино Московской области (по согласованию).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по решению председателя Антинаркотической комиссии города Лыткарино Московской области, в состав Комиссии могут быть включены иные должностные лица подразделений территориальных органов федеральных органов исполнительной власти (по согласованию), органов местного самоуправления и органов Администрации города Лыткарино Московской области.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Для осуществления своих задач Комиссия имеет право: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 xml:space="preserve">, а также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их выполнением;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требующим решения Губернатора Московской области, Правительства Московской области и Антинаркотической комиссии в Московской области.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а также для подготовки проектов соответствующих решений Комиссий.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органов местного самоуправления города Лыткарино Московской области, общественных объединений, организаций (независимо от форм собственности) и должностных лиц.</w:t>
      </w:r>
      <w:proofErr w:type="gramEnd"/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Комиссия осуществляет свою деятельность на плановой основе в соответствии с регламентом, утверждаемым председателем Комиссии.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Планирование работы Комиссии осуществляется на год. Комиссия ежегодно информирует аппарат Антинаркотической комиссии в Московской области об итогах своей деятельности до 5 декабря.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Заседания Комиссии проводятся не реже одного раза в квартал. В случае необходимости, по решению председателя Комиссии, могут проводиться внеочередные заседания Комиссии.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Подготовка материалов к заседанию Комиссии осуществляется представителями тех органов, к ведению которых относятся рассматриваемые вопросы.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Присутствие членов Комиссии на её заседаниях обязательно. 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Заседание Комиссии считается правомочным, если на нем присутствуют более половины её членов.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Решение Комиссии оформляется протоколом, который подписывается председателем Комиссии.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Решения, принимаемые Комиссией в соответствии с её компетенцией, являются обязательными для органов местного самоуправления города Лыткарино Московской области и организаций, расположенных на территории муниципального образования Московской области.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Организационное и материально-техническое обеспечение деятельности Комиссии осуществляется Главой города Лыткарино Московской области.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в пределах своей компетенции определяет (или создает) аппарат для решения вопросов организационного и материально-технического обеспечения деятельности Комиссии, а также назначает должностное лицо, ответственное за организацию этой работы.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Основными задачами аппарата Комиссии являются: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разработка проекта плана работы Комиссии;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обеспечение подготовки и проведения заседаний Комиссии;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обеспечение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решений Комиссии;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мониторинг общественно-политических, социально-экономических и иных процессов в городе Лыткарино Московской области,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выработка предложений по её улучшению;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обеспечение взаимодействия Комиссии с аппаратом Антинаркотической комиссии в Московской области;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е) организация и координация деятельности рабочих групп Комиссии;</w:t>
      </w:r>
    </w:p>
    <w:p w:rsidR="00324538" w:rsidRDefault="00324538" w:rsidP="00324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ж) организация и ведение делопроизводства Комиссии.</w:t>
      </w:r>
    </w:p>
    <w:p w:rsidR="00324538" w:rsidRDefault="00324538" w:rsidP="00324538">
      <w:pPr>
        <w:jc w:val="center"/>
        <w:rPr>
          <w:b/>
          <w:sz w:val="24"/>
          <w:szCs w:val="24"/>
        </w:rPr>
      </w:pPr>
    </w:p>
    <w:p w:rsidR="005147DB" w:rsidRDefault="005147DB"/>
    <w:sectPr w:rsidR="005147DB" w:rsidSect="0051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538"/>
    <w:rsid w:val="00252D4E"/>
    <w:rsid w:val="00324538"/>
    <w:rsid w:val="004E75C7"/>
    <w:rsid w:val="005147DB"/>
    <w:rsid w:val="00C3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3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2016-12-27T09:08:00Z</dcterms:created>
  <dcterms:modified xsi:type="dcterms:W3CDTF">2016-12-27T09:09:00Z</dcterms:modified>
</cp:coreProperties>
</file>