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6B7C" w14:textId="77777777" w:rsidR="00E14DED" w:rsidRPr="00E14DED" w:rsidRDefault="00E14DED" w:rsidP="002D4ED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контракт </w:t>
      </w:r>
      <w:r w:rsidR="005A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14:paraId="26212D25" w14:textId="77777777" w:rsidR="00E14DED" w:rsidRPr="00E14DED" w:rsidRDefault="005A411C" w:rsidP="002D4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казание услуг </w:t>
      </w:r>
      <w:r w:rsidR="00436704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14:paraId="61CDB327" w14:textId="77777777" w:rsidR="00E14DED" w:rsidRPr="00E14DED" w:rsidRDefault="00E14DED" w:rsidP="002D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EC509" w14:textId="77777777" w:rsidR="00E14DED" w:rsidRPr="00E14DED" w:rsidRDefault="00E14DED" w:rsidP="002D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Лыткарино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, Московская область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5A41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 «____» ________201</w:t>
      </w:r>
      <w:r w:rsidR="002D4E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</w:p>
    <w:p w14:paraId="6DB9AE9A" w14:textId="77777777" w:rsidR="005A411C" w:rsidRDefault="005A411C" w:rsidP="002D4ED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6C3CF7" w14:textId="77777777" w:rsidR="00E14DED" w:rsidRPr="00E14DED" w:rsidRDefault="00BA74AD" w:rsidP="00304649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Заказчик,</w:t>
      </w:r>
      <w:r w:rsidR="008F4AD6" w:rsidRPr="008F4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, в лице ________________, действующего на основании Устава, с другой стороны, именуемые в дальнейшем Стороны, с соблюдением требований Федерального </w:t>
      </w:r>
      <w:hyperlink r:id="rId7" w:history="1">
        <w:r w:rsidR="008F4AD6" w:rsidRPr="008F4AD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на основании протокола подведения итогов </w:t>
      </w:r>
      <w:r w:rsidR="008F4AD6" w:rsidRPr="00EA7FAD">
        <w:rPr>
          <w:rFonts w:ascii="Times New Roman" w:eastAsia="Times New Roman" w:hAnsi="Times New Roman" w:cs="Times New Roman"/>
          <w:b/>
          <w:sz w:val="24"/>
          <w:szCs w:val="24"/>
        </w:rPr>
        <w:t>электронного аукциона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№ __________ от «__» ________ 2017 г., </w:t>
      </w:r>
      <w:r w:rsidR="008F4AD6" w:rsidRPr="008F4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(ИКЗ _____________)</w:t>
      </w:r>
      <w:r w:rsidR="008F4AD6" w:rsidRPr="008F4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заключили между собой настоящий Муниципальный Контракт (далее - Контракт) о нижеследующем: </w:t>
      </w:r>
    </w:p>
    <w:p w14:paraId="5E6B7C50" w14:textId="77777777" w:rsidR="00E14DED" w:rsidRPr="00E14DED" w:rsidRDefault="00E14DED" w:rsidP="002D4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C8CE5D3" w14:textId="77777777" w:rsidR="00E14DED" w:rsidRPr="00860A56" w:rsidRDefault="00E14DED" w:rsidP="008F7BE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Pr="00860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обязуется оказать услуги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Заказчику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 (Приложение № 1 к Контракту)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>на условиях, в порядке и сроки, предусмотренные настоящим Контрактом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а Заказчик обязуется принять и оплатить оказанные услуги.</w:t>
      </w:r>
    </w:p>
    <w:p w14:paraId="2459A48C" w14:textId="77777777" w:rsidR="00E14DED" w:rsidRPr="00860A56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B4691">
        <w:rPr>
          <w:rFonts w:ascii="Times New Roman" w:eastAsia="Times New Roman" w:hAnsi="Times New Roman" w:cs="Times New Roman"/>
          <w:sz w:val="24"/>
          <w:szCs w:val="24"/>
        </w:rPr>
        <w:t>Объем услуг указан в Техническом задании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(Приложени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№1 к Контракту).</w:t>
      </w:r>
    </w:p>
    <w:p w14:paraId="1E0A60FC" w14:textId="77777777" w:rsidR="00E14DED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1.3. Срок </w:t>
      </w:r>
      <w:r w:rsidR="00AB259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F375A06" w14:textId="77777777" w:rsidR="008F4AD6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услуг_____________</w:t>
      </w:r>
    </w:p>
    <w:p w14:paraId="59854DAD" w14:textId="77777777" w:rsidR="008F4AD6" w:rsidRPr="00E14DED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DA36" w14:textId="77777777" w:rsidR="008F4AD6" w:rsidRPr="008F4AD6" w:rsidRDefault="008F4AD6" w:rsidP="00EA7FA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ЦЕНА КОНТРАКТА И ПОРЯДОК РАСЧЁТОВ</w:t>
      </w:r>
    </w:p>
    <w:p w14:paraId="641D26D3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2.1.Цена Контракта составляет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рублей (Сумма прописью) 00 копеек,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___% в размере __________рублей (Сумма прописью) 00 копеек. (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не облагается согласно п. 2 ст. 346.11. Налогового кодекса Российской Федерации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4D676B5B" w14:textId="77777777" w:rsidR="007A283B" w:rsidRDefault="008F4AD6" w:rsidP="007A28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2.2.Оплата по Контракту осуществляется по безналичному расчету на основании счета, счета-фактуры, товарной накладной и Акта приемки-передачи (Приложение №3) в </w:t>
      </w:r>
      <w:r w:rsidR="007A283B">
        <w:rPr>
          <w:rFonts w:ascii="Times New Roman" w:eastAsia="Times New Roman" w:hAnsi="Times New Roman" w:cs="Times New Roman"/>
          <w:sz w:val="24"/>
          <w:szCs w:val="24"/>
        </w:rPr>
        <w:t>срок:</w:t>
      </w:r>
    </w:p>
    <w:p w14:paraId="27D38768" w14:textId="77777777" w:rsidR="006A506D" w:rsidRPr="006A506D" w:rsidRDefault="007A283B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83B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1 вариант:</w:t>
      </w:r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 в течение пятнадцати рабочих дней с даты подписания Заказчиком документа о приемке 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14:paraId="78FE6B2F" w14:textId="77777777" w:rsidR="006A506D" w:rsidRPr="006A506D" w:rsidRDefault="006A506D" w:rsidP="006A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6A506D">
        <w:rPr>
          <w:rFonts w:ascii="Times New Roman" w:eastAsia="Times New Roman" w:hAnsi="Times New Roman" w:cs="Times New Roman"/>
          <w:sz w:val="24"/>
          <w:szCs w:val="24"/>
        </w:rPr>
        <w:t>не более тридцати дней с даты подписания Заказчиком документа о приемке (</w:t>
      </w: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14:paraId="60C82FD2" w14:textId="6668AE6F" w:rsidR="008F4AD6" w:rsidRPr="008F4AD6" w:rsidRDefault="008F4AD6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2.3.Оплата по настоящему Контракту осуществляется путем перечисления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Заказчиком денежных средств на расчетный счет 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, указанный в разделе 1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Контракта. </w:t>
      </w:r>
    </w:p>
    <w:p w14:paraId="7ADF771C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2.4.Датой оплаты считается дата списания денежных средств со счетов Заказчика. За дальнейшее прохождение денеж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ных средств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Заказчик ответственности не несет.</w:t>
      </w:r>
    </w:p>
    <w:p w14:paraId="69E9559F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2.5. Цена Контракта является твердой и определяется на весь срок исполнения Контракта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«По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дрядчика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», связанные с исполнением обязательств по настоящему Контракту.</w:t>
      </w:r>
    </w:p>
    <w:p w14:paraId="378696B2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2.6.Оплата по Контракту осуществляется в рублях Российской Федерации.</w:t>
      </w:r>
    </w:p>
    <w:p w14:paraId="414FEDA6" w14:textId="5452CE6D" w:rsidR="002D4ED4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2.7.Финансирование расходов осуществляется из средств бюджета города Лыткарино в рамках реализации Муниципальной 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пункт 1.2.1.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14:paraId="07C60584" w14:textId="77777777" w:rsidR="003E6C7A" w:rsidRPr="008F4AD6" w:rsidRDefault="003E6C7A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CE1FB" w14:textId="77777777" w:rsidR="008F4AD6" w:rsidRPr="008F4AD6" w:rsidRDefault="008F4AD6" w:rsidP="002D4E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>3. обеспечение исполнения Контракта</w:t>
      </w:r>
    </w:p>
    <w:p w14:paraId="17927A88" w14:textId="2008A924" w:rsidR="00291DCE" w:rsidRPr="00291DCE" w:rsidRDefault="008F4AD6" w:rsidP="00291DC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3.1. 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гарантии, либо внесением денежных средств, в размере (от 5% до 30%) от начальной (максимальной) </w:t>
      </w:r>
      <w:r w:rsidR="00C95907">
        <w:rPr>
          <w:rFonts w:ascii="Times New Roman" w:eastAsia="Times New Roman" w:hAnsi="Times New Roman" w:cs="Times New Roman"/>
          <w:sz w:val="24"/>
          <w:szCs w:val="24"/>
        </w:rPr>
        <w:t xml:space="preserve">цены </w:t>
      </w:r>
      <w:bookmarkStart w:id="0" w:name="_GoBack"/>
      <w:bookmarkEnd w:id="0"/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Контракта, в </w:t>
      </w:r>
      <w:r w:rsidR="00D830F4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___________ (сумма прописью) рублей 00 копеек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CE" w:rsidRPr="00291DCE">
        <w:rPr>
          <w:rFonts w:ascii="Times New Roman" w:eastAsia="Times New Roman" w:hAnsi="Times New Roman" w:cs="Times New Roman"/>
          <w:sz w:val="24"/>
          <w:szCs w:val="24"/>
        </w:rPr>
        <w:t>на срок, превышающий срок действия настоящего Контракта не менее чем на один месяц.</w:t>
      </w:r>
    </w:p>
    <w:p w14:paraId="30562A82" w14:textId="12BDD49E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98C46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связи с тем, что при проведении электронного аукциона участником, с которым заключается настоящий Контракт, предложена цена Контракта на____ процентов ниже начальной (максимальной) цены Контракта, на основании ст. 37 Федерального закона от 05.04.2013 № 44-ФЗ применяются антидемпинговые меры в виде предоставления Заказчику информации, подтверждающей добросовестность участника закупки, а именно: информации, содержащейся в реестре контрактов, заключенных Заказчиками, и подтверждающей исполнение таким участником в течение одного года до даты подачи заявки на участие в аукционе трех и более контрактов (при этом все контракты исполнены без применения к такому участнику неустоек (штрафов, пеней), </w:t>
      </w:r>
    </w:p>
    <w:p w14:paraId="27774B79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3.2. Денежные средства в качестве обеспечения настоящего Контракта должны быть внесены на счёт:</w:t>
      </w:r>
    </w:p>
    <w:p w14:paraId="2697261E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Получатель: ИНН _________; КПП _________</w:t>
      </w:r>
    </w:p>
    <w:p w14:paraId="0F9E197A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Финансовое управление города Лыткарино/ Администрация г. Лыткарино л/с __________- </w:t>
      </w:r>
    </w:p>
    <w:p w14:paraId="3F442939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Банк получателя: _______________</w:t>
      </w:r>
    </w:p>
    <w:p w14:paraId="34EE499F" w14:textId="77777777" w:rsidR="008F4AD6" w:rsidRPr="00BA74AD" w:rsidRDefault="008F4AD6" w:rsidP="002D4ED4">
      <w:pPr>
        <w:tabs>
          <w:tab w:val="left" w:pos="3345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Счет № _______________________</w:t>
      </w:r>
    </w:p>
    <w:p w14:paraId="348B3167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Корр. счет № __________________</w:t>
      </w:r>
    </w:p>
    <w:p w14:paraId="5AF311AF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>БИК ___________________________</w:t>
      </w:r>
    </w:p>
    <w:p w14:paraId="39FA5B8A" w14:textId="77777777" w:rsidR="008F4AD6" w:rsidRPr="00BA74AD" w:rsidRDefault="008F4AD6" w:rsidP="002D4ED4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назначении платежа указать: </w:t>
      </w:r>
      <w:r w:rsidR="00E46BDE">
        <w:rPr>
          <w:rFonts w:ascii="Times New Roman" w:eastAsia="Times New Roman" w:hAnsi="Times New Roman" w:cs="Times New Roman"/>
          <w:spacing w:val="-10"/>
          <w:sz w:val="24"/>
          <w:szCs w:val="24"/>
        </w:rPr>
        <w:t>_______________(Наименование Заказчика)</w:t>
      </w:r>
      <w:r w:rsidRPr="00BA74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л/с ____________, </w:t>
      </w:r>
      <w:r w:rsidRPr="00BA74A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r w:rsidRPr="00BA74AD">
        <w:rPr>
          <w:rFonts w:ascii="Times New Roman" w:eastAsia="Times New Roman" w:hAnsi="Times New Roman" w:cs="Times New Roman"/>
          <w:bCs/>
          <w:sz w:val="24"/>
          <w:szCs w:val="24"/>
        </w:rPr>
        <w:t>_____________(Название контракта)</w:t>
      </w:r>
    </w:p>
    <w:p w14:paraId="5496855D" w14:textId="77777777" w:rsidR="008F4AD6" w:rsidRP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3.3. В случае обеспечения настоящего Контракта денежными средствами, возврат обеспечения настоящего Контракта Подрядчику осуществляется Заказчиком после исполнения настоящего Контракта в полном объёме в течение 30 дней.</w:t>
      </w:r>
    </w:p>
    <w:p w14:paraId="2D871E86" w14:textId="77777777" w:rsidR="008F4AD6" w:rsidRDefault="008F4AD6" w:rsidP="002D4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3.4. Для возврата обеспечения  настоящего Контракта денежными средствами Подрядчику  необходимо предоставить письмо с указанием банковских реквизитов в адрес Заказчика. </w:t>
      </w:r>
    </w:p>
    <w:p w14:paraId="33AAB713" w14:textId="77777777" w:rsidR="00ED1784" w:rsidRDefault="008F4AD6" w:rsidP="00EA7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373E16D0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4.1. Заказчик обязан:</w:t>
      </w:r>
    </w:p>
    <w:p w14:paraId="63FE0B44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4.1.1. Своевременно предоставлять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необходимую для исполнения Контракта;</w:t>
      </w:r>
    </w:p>
    <w:p w14:paraId="24032A8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4.1.2. Принять и оплатить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предусмотренным Контрактом.</w:t>
      </w:r>
    </w:p>
    <w:p w14:paraId="2882B244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4.1.3. Провести экспертизу для проверки предоставленных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Исполнителем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предусмотренных настоящим Контрактом. Экспертиза результатов, предусмотренных настоящим Контрактом, проводится «Заказчиком» </w:t>
      </w:r>
      <w:r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___________________(своими силами или силами привлеченных Экспертов-выбрать вариант).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 сдачи-приемки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Pr="008F4AD6">
        <w:rPr>
          <w:rFonts w:ascii="Times New Roman" w:eastAsia="Times New Roman" w:hAnsi="Times New Roman" w:cs="Times New Roman"/>
          <w:bCs/>
          <w:sz w:val="24"/>
          <w:szCs w:val="24"/>
        </w:rPr>
        <w:t>с подписями сторон является внутренней экспертизой данного Контракта.</w:t>
      </w:r>
    </w:p>
    <w:p w14:paraId="38FDA9E7" w14:textId="77777777" w:rsidR="00E14DED" w:rsidRPr="002D4ED4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</w:t>
      </w:r>
      <w:r w:rsidR="00436704" w:rsidRPr="002D4ED4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BDC87" w14:textId="77777777" w:rsidR="00E14DED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.1. Оказать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услуги согласно п.1.2. настоящего Контракта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8308A" w14:textId="77777777" w:rsidR="00E14DED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Своевременно и надлежащим образом оказать услуги и представить Заказчику отчетную документацию по итогам исполнения Контракта.</w:t>
      </w:r>
    </w:p>
    <w:p w14:paraId="266ADD99" w14:textId="77777777" w:rsidR="00A659F5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После окончания оказания услуг предоставить Заказчику Акт с указанием перечня и количества оказанных услуг.</w:t>
      </w:r>
    </w:p>
    <w:p w14:paraId="6CC40AA6" w14:textId="77777777" w:rsidR="008F7BEF" w:rsidRDefault="008F4AD6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.2.4. В случае несогласия с результатами внутренней экспертизы «Заказчика», «</w:t>
      </w:r>
      <w:r w:rsidR="00280DF0" w:rsidRPr="002D4ED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» обязан провести внешнюю экспертизу за свой счет.</w:t>
      </w:r>
    </w:p>
    <w:p w14:paraId="37D97ADD" w14:textId="77777777" w:rsidR="008F7BEF" w:rsidRPr="008F7BEF" w:rsidRDefault="008F7BEF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исполнение услуг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B542B" w14:textId="77777777" w:rsidR="008F7BEF" w:rsidRPr="008F7BEF" w:rsidRDefault="008F7BEF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4.2.7. После завершения </w:t>
      </w:r>
      <w:r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сдать их результат в установленном порядке «Заказчику», по акту сдачи-приемки выполненных работ.</w:t>
      </w:r>
    </w:p>
    <w:p w14:paraId="3DE8ADF8" w14:textId="77777777" w:rsidR="008F7BEF" w:rsidRPr="008F7BEF" w:rsidRDefault="008F7BEF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4.2.8. В случае несогласия с результатами внутренней экспертизы «Заказчика»,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обязан провести внешнюю экспертизу за свой счет. </w:t>
      </w:r>
    </w:p>
    <w:p w14:paraId="2266CD5A" w14:textId="77777777" w:rsidR="00A659F5" w:rsidRPr="002D4ED4" w:rsidRDefault="008F7BEF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EF">
        <w:rPr>
          <w:rFonts w:ascii="Times New Roman" w:eastAsia="Times New Roman" w:hAnsi="Times New Roman" w:cs="Times New Roman"/>
          <w:sz w:val="24"/>
          <w:szCs w:val="24"/>
        </w:rPr>
        <w:t>4.2.9.Бе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>звозмездно устранить недостатки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и дефекты </w:t>
      </w: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предоставления услуг</w:t>
      </w:r>
      <w:r w:rsidRPr="008F7BEF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Заказчика в течение суток, с момента их обнаружения.</w:t>
      </w:r>
    </w:p>
    <w:p w14:paraId="5CE0A965" w14:textId="77777777" w:rsidR="00E14DED" w:rsidRPr="002D4ED4" w:rsidRDefault="008F4AD6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CF6E45" w14:textId="77777777" w:rsidR="00C70402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.1. Требовать своевременного подписания Заказчиком Акта сдачи-приемки услуг по настоящему Контракту на основании представленных Исполнителем отчетных документов.</w:t>
      </w:r>
    </w:p>
    <w:p w14:paraId="7DC61A17" w14:textId="77777777" w:rsidR="00C70402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Требовать своевременной оплаты оказанных услуг в соответствии с разделом 2 настоящего Контракта.</w:t>
      </w:r>
    </w:p>
    <w:p w14:paraId="33E3DA12" w14:textId="77777777" w:rsidR="00386ADC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Запрашивать у Заказчика  разъяснения и уточнения относительно оказания услуг в рамках исполнения настоящего Контракта.</w:t>
      </w:r>
    </w:p>
    <w:p w14:paraId="4731A5CD" w14:textId="77777777" w:rsidR="00E14DED" w:rsidRPr="002D4ED4" w:rsidRDefault="008F4AD6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0BA6">
        <w:rPr>
          <w:rFonts w:ascii="Times New Roman" w:eastAsia="Times New Roman" w:hAnsi="Times New Roman" w:cs="Times New Roman"/>
          <w:sz w:val="24"/>
          <w:szCs w:val="24"/>
        </w:rPr>
        <w:t>По согласованию сторон д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осрочно исполнить обязат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ельства по настоящему Контракту, осуществлять иные права, предусмотренные настоящим Контрактом и (или) законодательством Российской Федерации</w:t>
      </w:r>
      <w:r w:rsidR="00BA79F7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8555E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6B28B54" w14:textId="77777777" w:rsidR="00C70402" w:rsidRPr="002D4ED4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b/>
          <w:sz w:val="24"/>
          <w:szCs w:val="24"/>
        </w:rPr>
        <w:t>.4. Заказчик вправе:</w:t>
      </w:r>
    </w:p>
    <w:p w14:paraId="1A97F7E6" w14:textId="77777777" w:rsidR="008F4AD6" w:rsidRPr="002D4ED4" w:rsidRDefault="008F4AD6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.4.1. 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Требовать надлежащего исполнения Исполнителем обязательств по Контракту в полном объеме, контролировать процесс выполнения Исполнителем условий оказания услуг, не вмешиваясь при этом в деятельность Исполнителя;</w:t>
      </w:r>
    </w:p>
    <w:p w14:paraId="530DF8FD" w14:textId="77777777" w:rsidR="008F4AD6" w:rsidRPr="008F4AD6" w:rsidRDefault="008F4AD6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.4.2.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14:paraId="5A15D1DB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 Требовать возмещения неустойки и (или) убытков, причиненных по вине Подрядчика.</w:t>
      </w:r>
    </w:p>
    <w:p w14:paraId="1220B77F" w14:textId="77777777" w:rsidR="008F4AD6" w:rsidRPr="008F4AD6" w:rsidRDefault="008F4AD6" w:rsidP="002D4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 Привлекать экспертов, экспертные или специализированные организации для осуществления контроля за ходом и качеством работ, для проверки соответствия качества выполненных работ требованиям, установленным настоящим Контрактом;</w:t>
      </w:r>
    </w:p>
    <w:p w14:paraId="0C2C3D0F" w14:textId="77777777" w:rsidR="008F4AD6" w:rsidRDefault="008F4AD6" w:rsidP="00EA7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настоящим Контрактом и (или) законодательством Российской Федерации.</w:t>
      </w:r>
    </w:p>
    <w:p w14:paraId="182F2B96" w14:textId="77777777" w:rsidR="008F4AD6" w:rsidRDefault="008F4AD6" w:rsidP="00EA7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>5. Порядок СДАЧИ-ПРИЁМКИ</w:t>
      </w: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4A7E9BD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.1. После завершения оказания услуг, предусмотренных Контрактом, Исполнитель письменно уведомляет Заказчика о факте завершения оказания услуг.</w:t>
      </w:r>
    </w:p>
    <w:p w14:paraId="18BEE61B" w14:textId="006D3895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.2. Не позднее рабочего дня, следующего за днем получения Заказчиком</w:t>
      </w:r>
      <w:r w:rsidR="008F4AD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указанного в п. </w:t>
      </w:r>
      <w:r w:rsidR="00EC3F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 Контракта, Исполнитель представляет Заказчику  Акт сдачи-приемки услуг, подписанный Исполнителем, в 2 (двух) экземплярах.</w:t>
      </w:r>
    </w:p>
    <w:p w14:paraId="6E8E699B" w14:textId="77777777" w:rsidR="008F4AD6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.3. Не позднее 5 (пять) дней после получения от Исполнит</w:t>
      </w:r>
      <w:r>
        <w:rPr>
          <w:rFonts w:ascii="Times New Roman" w:eastAsia="Times New Roman" w:hAnsi="Times New Roman" w:cs="Times New Roman"/>
          <w:sz w:val="24"/>
          <w:szCs w:val="24"/>
        </w:rPr>
        <w:t>еля документов, указанных в п. 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.2 Контракта,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настоящем Контракте и Техническом задании (Приложение № 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instrText xml:space="preserve"> REF _ref_16787711 \h \n \!  \* MERGEFORMAT </w:instrTex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), и направляет заказным письмом с уведомлением, либо отдает нарочно Исполнителю подписанный Заказчиком 1 (один) экземпляр Акта сдачи-приемки  услуг либо запрос о предоставлении разъяснений касательно результатов 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 оказанных услуг в связи с необходимостью устранения недостатков и/или доработки результатов оказанных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68764A4E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.4. Для проверки предоставленных Исполнителем результатов, предусмотренных Контрактом, в части их соответствия условиям Контракта Заказчик вправе  провести экспертизу, к ее проведению могут привлекаться эксперты, экспертные организации. </w:t>
      </w:r>
    </w:p>
    <w:p w14:paraId="1D0D7ADD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.5. 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3 (трех) рабочих дней обязан предоставить Заказчику запрашиваемые разъяснения в отношении 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</w:p>
    <w:p w14:paraId="292F32AC" w14:textId="77777777" w:rsidR="008F4AD6" w:rsidRPr="00386ADC" w:rsidRDefault="00304649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.6. 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 Исполнителем недостатков или выполнении доработок в надлежащем порядке и в 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 направляет Исполнителю.</w:t>
      </w:r>
    </w:p>
    <w:p w14:paraId="12B7C7C7" w14:textId="77777777" w:rsidR="008F4AD6" w:rsidRDefault="00304649" w:rsidP="00EA7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.7. Подписанный Заказчиком и Исполнителем Акт сдачи-приемки услуг и предъявленный Исполнителем Заказчику счет на оплату стоимости  Контракта являются основанием для оплаты Исполнителю оказанных услуг.</w:t>
      </w:r>
    </w:p>
    <w:p w14:paraId="2F77E839" w14:textId="77777777" w:rsidR="00ED3748" w:rsidRPr="00E14DED" w:rsidRDefault="008F4AD6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</w:t>
      </w:r>
      <w:r w:rsidRPr="00A7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ОТВЕТСТВЕННОСТЬ СТОРОН</w:t>
      </w:r>
    </w:p>
    <w:p w14:paraId="26149EC3" w14:textId="77777777" w:rsidR="008F4AD6" w:rsidRPr="00A7685D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F4AD6" w:rsidRPr="00A7685D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14:paraId="001B6055" w14:textId="4977BE24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В случае просрочки «Заказчиком» исполнения обязательств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» вправе потребовать уплаты пеней. 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«Заказчиком».</w:t>
      </w:r>
    </w:p>
    <w:p w14:paraId="354B46EA" w14:textId="2B172BE8" w:rsidR="008F4AD6" w:rsidRPr="008F4AD6" w:rsidRDefault="00304649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В случае просрочки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» исполнения обязательств «Заказчик» вправе потребовать уплаты пеней. Пеня начисляется за каждый день просрочки исполнения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="008F4AD6" w:rsidRPr="008F4AD6">
          <w:rPr>
            <w:rFonts w:ascii="Times New Roman" w:eastAsia="Times New Roman" w:hAnsi="Times New Roman" w:cs="Times New Roman"/>
            <w:sz w:val="24"/>
            <w:szCs w:val="24"/>
          </w:rPr>
          <w:t>ставки</w:t>
        </w:r>
      </w:hyperlink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</w:t>
      </w:r>
      <w:r w:rsidR="007D3C9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», и определяется по формуле, установленной п.6 «Правил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 Контрактом (за исключением прострочки исполнения обязательств заказчиком, поставщиком (подрядчиком, исполнителем), в размере пени, начисляемой за каждый день просрочки  исполнения поставщиком (подрядчиком,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r w:rsidR="00EA7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 = (Ц-В) х С, </w:t>
      </w:r>
      <w:r w:rsidR="008F4AD6"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3EC5507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Ц – цена Контракта;</w:t>
      </w:r>
    </w:p>
    <w:p w14:paraId="3C86C37C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В – стоимость фактически исполненного в установленный срок «Подрядчиком»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</w:p>
    <w:p w14:paraId="19065300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С – размер ставки.</w:t>
      </w:r>
      <w:r w:rsidR="003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 ставки определяется по формуле: </w:t>
      </w:r>
      <w:r w:rsidRPr="008F4AD6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50396EA4" wp14:editId="465665AA">
            <wp:extent cx="1144905" cy="247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22AAF08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 К;</w:t>
      </w:r>
    </w:p>
    <w:p w14:paraId="12D965F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просрочки.</w:t>
      </w:r>
    </w:p>
    <w:p w14:paraId="3929C485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Коэффициент К определяется по формуле:</w:t>
      </w:r>
      <w:r w:rsidRPr="008F4AD6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870DA9" wp14:editId="0724039C">
            <wp:extent cx="1449705" cy="379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1264EB9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просрочки;</w:t>
      </w:r>
    </w:p>
    <w:p w14:paraId="44AF18C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ДК = срок исполнения обязательства по Контракту (количество дней)</w:t>
      </w:r>
    </w:p>
    <w:p w14:paraId="0C56A67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733C2B91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666056CE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 К,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18EF03DD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</w:p>
    <w:p w14:paraId="247405C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10 процентов цены Контракта в случае, если цена Контракта не превышает 3 млн. рублей;</w:t>
      </w:r>
    </w:p>
    <w:p w14:paraId="120DC077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5 процентов цены Контракта в случае, если цена Контракта составляет от 3 млн. рублей до 50 млн. рублей;</w:t>
      </w:r>
    </w:p>
    <w:p w14:paraId="349D58AB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 процент цены Контракта в случае, если цена Контракта составляет от 50 млн. рублей до 100 млн. рублей;</w:t>
      </w:r>
    </w:p>
    <w:p w14:paraId="135F5DE2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4CA15EB3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6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14:paraId="65BACA5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2,5 процента цены Контракта в случае, если цена Контракта не превышает 3 млн. рублей;</w:t>
      </w:r>
    </w:p>
    <w:p w14:paraId="49F0AF10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2 процента цены Контракта в случае, если цена Контракта составляет от 3 млн. рублей до 50 млн. рублей;</w:t>
      </w:r>
    </w:p>
    <w:p w14:paraId="3178DBA5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1,5 процента цены Контракта в случае, если цена Контракта составляет от 50 млн. рублей до 100 млн. рублей;</w:t>
      </w:r>
    </w:p>
    <w:p w14:paraId="048F12D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7FD1DFDF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6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31866932" w14:textId="77777777" w:rsidR="00E14DED" w:rsidRPr="00E14DED" w:rsidRDefault="00304649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6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.7. Уплата неустойки не освобождает Стороны от выполнения принятых обязательств.</w:t>
      </w:r>
    </w:p>
    <w:p w14:paraId="0C7E6E52" w14:textId="77777777" w:rsidR="008F4AD6" w:rsidRPr="008F4AD6" w:rsidRDefault="00304649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14:paraId="695AFA61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62445D16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73B40CE0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течении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D5EDF31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 Если обстоятельства, указанные в пункте 7.1 Контракта, будут длиться более 2 (Два) календарных месяцев с даты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1BA53158" w14:textId="77777777" w:rsidR="008F4AD6" w:rsidRPr="008F4AD6" w:rsidRDefault="00304649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14:paraId="2B62CEF1" w14:textId="77777777" w:rsidR="008F4AD6" w:rsidRPr="008F4AD6" w:rsidRDefault="00304649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.1. Стороны принимают все меры для того, чтобы любые спорные вопросы, разногласия либо претензии, касающиеся исполнения настоящего Контракта, были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урегулированы путем переговоров с оформлением совместного протокола урегулирования споров.</w:t>
      </w:r>
    </w:p>
    <w:p w14:paraId="08A9C274" w14:textId="77777777" w:rsidR="008F4AD6" w:rsidRPr="008F4AD6" w:rsidRDefault="00304649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не достижения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739599E1" w14:textId="77777777" w:rsidR="008F4AD6" w:rsidRPr="008F4AD6" w:rsidRDefault="00304649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14:paraId="4D3D405A" w14:textId="77777777" w:rsidR="008F4AD6" w:rsidRPr="008F4AD6" w:rsidRDefault="00304649" w:rsidP="002D4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41DAA106" w14:textId="77777777" w:rsidR="008F4AD6" w:rsidRPr="008F4AD6" w:rsidRDefault="00304649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14:paraId="7B604555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14:paraId="3750CC22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14:paraId="31B410BD" w14:textId="77777777" w:rsidR="008F4AD6" w:rsidRPr="008F4AD6" w:rsidRDefault="008F4AD6" w:rsidP="00EA7FA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63F2FB13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1</w:t>
      </w:r>
      <w:r w:rsidR="0030464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0</w:t>
      </w:r>
      <w:r w:rsidRPr="008F4AD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. СРОК ДЕЙСТВИЯ КОНТРАКТА</w:t>
      </w:r>
    </w:p>
    <w:p w14:paraId="7B96EEA0" w14:textId="77777777" w:rsidR="008F4AD6" w:rsidRPr="008F4AD6" w:rsidRDefault="008F4AD6" w:rsidP="002D4ED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304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.1.Настоящий Контракт вступает в силу с момента подписания и </w:t>
      </w:r>
      <w:r w:rsidRPr="008F4A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действует по 31.12.2017 г.</w:t>
      </w:r>
    </w:p>
    <w:p w14:paraId="7E063665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46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.ПРОЧИЕ УСЛОВИЯ</w:t>
      </w:r>
    </w:p>
    <w:p w14:paraId="74A575EB" w14:textId="32126489" w:rsidR="009C0D28" w:rsidRPr="009C0D28" w:rsidRDefault="008F4AD6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30464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</w:t>
      </w:r>
      <w:r w:rsidR="009C0D28"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0AA9B4D5" w14:textId="6676E6D0" w:rsidR="009C0D28" w:rsidRPr="009C0D28" w:rsidRDefault="009C0D28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2B8AF79E" w14:textId="5C44F6F2" w:rsidR="009C0D28" w:rsidRPr="009C0D28" w:rsidRDefault="009C0D28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14:paraId="206F110A" w14:textId="1B2A46EA" w:rsidR="008F4AD6" w:rsidRPr="008F4AD6" w:rsidRDefault="009C0D28" w:rsidP="009C0D2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9C0D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.4.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Контракт составлен в  электронной форме и подписан Сторонами посредством электронной цифровой подписи (ЭП), в соответствии с требованиями, установленными  Федеральным законом 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5FED68CC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30464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Неотъемлемой частью Контракта являются следующие приложения:</w:t>
      </w:r>
    </w:p>
    <w:p w14:paraId="31DA54D8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 Приложение № 1 «Техническое задание»;</w:t>
      </w:r>
    </w:p>
    <w:p w14:paraId="1FF5AA2D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-Приложение 2-Спецификация</w:t>
      </w:r>
    </w:p>
    <w:p w14:paraId="2E8E53AB" w14:textId="12793966" w:rsidR="008F4AD6" w:rsidRPr="008F4AD6" w:rsidRDefault="008F4AD6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- Приложение № 2 «Форма акта сдачи-приёмки </w:t>
      </w:r>
      <w:r w:rsidR="003E6C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услуг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».</w:t>
      </w:r>
    </w:p>
    <w:p w14:paraId="252CA05D" w14:textId="77777777" w:rsidR="008F4AD6" w:rsidRPr="008F4AD6" w:rsidRDefault="00304649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.ЮРИДИЧЕСКИЕ АДРЕСА И БАНКОВСКИЕ РЕКВИЗИТЫ СТОРОН</w:t>
      </w:r>
    </w:p>
    <w:tbl>
      <w:tblPr>
        <w:tblpPr w:leftFromText="180" w:rightFromText="180" w:bottomFromText="20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8F4AD6" w:rsidRPr="008F4AD6" w14:paraId="43A8A016" w14:textId="77777777" w:rsidTr="0027775B">
        <w:trPr>
          <w:trHeight w:val="2289"/>
        </w:trPr>
        <w:tc>
          <w:tcPr>
            <w:tcW w:w="5637" w:type="dxa"/>
          </w:tcPr>
          <w:p w14:paraId="3C10D01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14:paraId="6C0B3CE5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062C0EC9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633FF69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7E3897F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5F1E9F08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34C7E43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738A60C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1EAE98FE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2B3009D6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6CF62E1B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3B53BA12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16160C8C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1FB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0B88920F" w14:textId="77777777" w:rsidR="008F4AD6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ЭП</w:t>
            </w:r>
          </w:p>
        </w:tc>
        <w:tc>
          <w:tcPr>
            <w:tcW w:w="5252" w:type="dxa"/>
          </w:tcPr>
          <w:p w14:paraId="11580B3D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14:paraId="79B3E911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06011D1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73C52AF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E0DD6A9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23F113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728D68B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35F6C7D0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575C4B4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0AC1D9E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49D0982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626AF7D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3CB22E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42BA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5D2A87CD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ЭП</w:t>
            </w:r>
          </w:p>
        </w:tc>
      </w:tr>
    </w:tbl>
    <w:p w14:paraId="371232F3" w14:textId="77777777" w:rsidR="00A91091" w:rsidRDefault="00A91091" w:rsidP="00BA7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1091" w:rsidSect="00304649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7A2FE" w15:done="0"/>
  <w15:commentEx w15:paraId="1454D426" w15:done="0"/>
  <w15:commentEx w15:paraId="155B8289" w15:done="0"/>
  <w15:commentEx w15:paraId="72AB75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9D"/>
    <w:multiLevelType w:val="multilevel"/>
    <w:tmpl w:val="532ACB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ED"/>
    <w:rsid w:val="00086658"/>
    <w:rsid w:val="00147D5E"/>
    <w:rsid w:val="00157419"/>
    <w:rsid w:val="002460D9"/>
    <w:rsid w:val="00280DF0"/>
    <w:rsid w:val="00291DCE"/>
    <w:rsid w:val="002D4ED4"/>
    <w:rsid w:val="00304649"/>
    <w:rsid w:val="00355BD6"/>
    <w:rsid w:val="00365D8C"/>
    <w:rsid w:val="00386ADC"/>
    <w:rsid w:val="00386F05"/>
    <w:rsid w:val="003B5C1E"/>
    <w:rsid w:val="003C3447"/>
    <w:rsid w:val="003E6C7A"/>
    <w:rsid w:val="003F716D"/>
    <w:rsid w:val="003F7389"/>
    <w:rsid w:val="004341FB"/>
    <w:rsid w:val="00436704"/>
    <w:rsid w:val="00436C65"/>
    <w:rsid w:val="004464FE"/>
    <w:rsid w:val="004B43E2"/>
    <w:rsid w:val="004F4591"/>
    <w:rsid w:val="00507D58"/>
    <w:rsid w:val="005A1CDA"/>
    <w:rsid w:val="005A411C"/>
    <w:rsid w:val="005E489F"/>
    <w:rsid w:val="006016DD"/>
    <w:rsid w:val="006639DB"/>
    <w:rsid w:val="00694424"/>
    <w:rsid w:val="006A0F6E"/>
    <w:rsid w:val="006A506D"/>
    <w:rsid w:val="006B4834"/>
    <w:rsid w:val="006D7D3D"/>
    <w:rsid w:val="006F3653"/>
    <w:rsid w:val="007266A6"/>
    <w:rsid w:val="0072717A"/>
    <w:rsid w:val="00774481"/>
    <w:rsid w:val="007A283B"/>
    <w:rsid w:val="007D3C92"/>
    <w:rsid w:val="008600CF"/>
    <w:rsid w:val="00860A56"/>
    <w:rsid w:val="008B366A"/>
    <w:rsid w:val="008E2C69"/>
    <w:rsid w:val="008F4AD6"/>
    <w:rsid w:val="008F7BEF"/>
    <w:rsid w:val="00987D8F"/>
    <w:rsid w:val="009C0D28"/>
    <w:rsid w:val="009D3ABE"/>
    <w:rsid w:val="00A06B0C"/>
    <w:rsid w:val="00A604C8"/>
    <w:rsid w:val="00A659F5"/>
    <w:rsid w:val="00A91091"/>
    <w:rsid w:val="00AA6C8E"/>
    <w:rsid w:val="00AB2597"/>
    <w:rsid w:val="00AD2A2C"/>
    <w:rsid w:val="00AD2E76"/>
    <w:rsid w:val="00AE150D"/>
    <w:rsid w:val="00BA74AD"/>
    <w:rsid w:val="00BA79F7"/>
    <w:rsid w:val="00BB78E2"/>
    <w:rsid w:val="00C1237F"/>
    <w:rsid w:val="00C51C79"/>
    <w:rsid w:val="00C70402"/>
    <w:rsid w:val="00C8555E"/>
    <w:rsid w:val="00C95907"/>
    <w:rsid w:val="00CB4691"/>
    <w:rsid w:val="00CD1AEC"/>
    <w:rsid w:val="00CD5156"/>
    <w:rsid w:val="00D104B0"/>
    <w:rsid w:val="00D24E40"/>
    <w:rsid w:val="00D830F4"/>
    <w:rsid w:val="00DD280B"/>
    <w:rsid w:val="00DD3307"/>
    <w:rsid w:val="00E14DED"/>
    <w:rsid w:val="00E45BE4"/>
    <w:rsid w:val="00E46BDE"/>
    <w:rsid w:val="00EA5CFA"/>
    <w:rsid w:val="00EA7FAD"/>
    <w:rsid w:val="00EC3F51"/>
    <w:rsid w:val="00ED1784"/>
    <w:rsid w:val="00ED3748"/>
    <w:rsid w:val="00ED43E9"/>
    <w:rsid w:val="00EF0184"/>
    <w:rsid w:val="00F30BA6"/>
    <w:rsid w:val="00F31D33"/>
    <w:rsid w:val="00F701FE"/>
    <w:rsid w:val="00FA6393"/>
    <w:rsid w:val="00FB267E"/>
    <w:rsid w:val="00FB7AA9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7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F6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6B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6B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6B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6B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6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7C7FD497991C8E609566C03317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A9223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2F80-B9B5-45B2-9327-86D1F96F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57</cp:revision>
  <dcterms:created xsi:type="dcterms:W3CDTF">2015-04-17T12:33:00Z</dcterms:created>
  <dcterms:modified xsi:type="dcterms:W3CDTF">2017-08-10T10:24:00Z</dcterms:modified>
</cp:coreProperties>
</file>