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733325">
        <w:rPr>
          <w:rFonts w:ascii="Times New Roman" w:hAnsi="Times New Roman"/>
          <w:b/>
          <w:sz w:val="28"/>
          <w:szCs w:val="24"/>
        </w:rPr>
        <w:t>Прокуратура города Лыткарино разъясняет уголовную ответственность за фиктивную постановку на учет иностранных граждан (ст.</w:t>
      </w:r>
      <w:r>
        <w:rPr>
          <w:rFonts w:ascii="Times New Roman" w:hAnsi="Times New Roman"/>
          <w:b/>
          <w:sz w:val="28"/>
          <w:szCs w:val="24"/>
        </w:rPr>
        <w:t> </w:t>
      </w:r>
      <w:r w:rsidRPr="00733325">
        <w:rPr>
          <w:rFonts w:ascii="Times New Roman" w:hAnsi="Times New Roman"/>
          <w:b/>
          <w:sz w:val="28"/>
          <w:szCs w:val="24"/>
        </w:rPr>
        <w:t>322.3 УК РФ)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Под фиктивной постановкой на учет иностранных граждан и лиц без гражданства по месту пребывания понимаются случаи постановки на учет: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- на основании представления заведомо недостоверных (ложных) сведений или документов;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- в помещении без намерения фактического проживания (пребывания) в нем;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- без намерения принимающей стороны предоставлять это помещение для фактического проживания;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- по адресу организации, в которой иностранный гражданин или лицо без гражданства в установленном порядке не осуществляет трудовую или иную незапрещенную законодательством деятельность.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 xml:space="preserve">Ранее уголовная ответственность наступала лишь за фактическую постановку на учет в жилом помещении в Российской Федерации. Теперь, начиная с 23.11.2018, уголовная ответственность наступает за фиктивную постановку иностранных граждан и лиц без гражданства на учет как в жилом, так и в нежилом помещении. 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В частности, Уголовный кодекс Российской Федерации предусматривает следующие виды наказания за совершение данного преступления: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-  штраф в размере от 100 000 рублей до 500 000 рублей или в размере заработной платы или иного дохода осужденного за период до 3 лет;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- принудительные работы на срок до 3 лет с лишением права занимать определенные должности или заниматься определенной деятельностью на срок до 3 лет или без такового;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-  лишение свободы на срок до 3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Вместе с тем, Закон предусматривает возможность освобождения от уголовной ответственности за совершение данного преступления, если виновное лицо способствовало раскрытию преступления и</w:t>
      </w:r>
      <w:r>
        <w:rPr>
          <w:rFonts w:ascii="Times New Roman" w:hAnsi="Times New Roman"/>
          <w:sz w:val="28"/>
          <w:szCs w:val="24"/>
        </w:rPr>
        <w:t>,</w:t>
      </w:r>
      <w:r w:rsidRPr="00733325">
        <w:rPr>
          <w:rFonts w:ascii="Times New Roman" w:hAnsi="Times New Roman"/>
          <w:sz w:val="28"/>
          <w:szCs w:val="24"/>
        </w:rPr>
        <w:t xml:space="preserve"> если в его действиях не содержится иного состава преступления.</w:t>
      </w:r>
    </w:p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Общественная опасность анализируемого преступления состоит в том, что оно нарушает порядок миграционного учета, режим законного нахождения (пребывания) иностранных граждан и лиц без гражданства на территории Российской Федерации.</w:t>
      </w:r>
    </w:p>
    <w:p w:rsidR="001B35DF" w:rsidRPr="00414E11" w:rsidRDefault="001B35DF" w:rsidP="007A30EF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5DF" w:rsidRPr="00414E11" w:rsidRDefault="001B35DF" w:rsidP="007A30EF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325" w:rsidRDefault="001B35DF" w:rsidP="00733325">
      <w:pPr>
        <w:tabs>
          <w:tab w:val="left" w:pos="10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14E11">
        <w:rPr>
          <w:rFonts w:ascii="Times New Roman" w:hAnsi="Times New Roman"/>
          <w:sz w:val="28"/>
          <w:szCs w:val="28"/>
        </w:rPr>
        <w:t>Помощник прокурора города</w:t>
      </w:r>
    </w:p>
    <w:p w:rsidR="00733325" w:rsidRDefault="00733325" w:rsidP="00733325">
      <w:pPr>
        <w:tabs>
          <w:tab w:val="left" w:pos="10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B35DF" w:rsidRPr="00414E11" w:rsidRDefault="00733325" w:rsidP="00733325">
      <w:pPr>
        <w:tabs>
          <w:tab w:val="left" w:pos="10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3 класса</w:t>
      </w:r>
      <w:r w:rsidR="001B35DF" w:rsidRPr="00414E11">
        <w:rPr>
          <w:rFonts w:ascii="Times New Roman" w:hAnsi="Times New Roman"/>
          <w:sz w:val="28"/>
          <w:szCs w:val="28"/>
        </w:rPr>
        <w:t xml:space="preserve"> </w:t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B35DF" w:rsidRPr="00414E11">
        <w:rPr>
          <w:rFonts w:ascii="Times New Roman" w:hAnsi="Times New Roman"/>
          <w:sz w:val="28"/>
          <w:szCs w:val="28"/>
        </w:rPr>
        <w:t>А.П. Шумская</w:t>
      </w:r>
    </w:p>
    <w:p w:rsidR="001B35DF" w:rsidRPr="00414E11" w:rsidRDefault="001B35DF" w:rsidP="00733325">
      <w:pPr>
        <w:tabs>
          <w:tab w:val="left" w:pos="1056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1B35DF" w:rsidRPr="00414E11" w:rsidSect="001834F7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0A" w:rsidRDefault="002B1B0A">
      <w:r>
        <w:separator/>
      </w:r>
    </w:p>
  </w:endnote>
  <w:endnote w:type="continuationSeparator" w:id="0">
    <w:p w:rsidR="002B1B0A" w:rsidRDefault="002B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0A" w:rsidRDefault="002B1B0A">
      <w:r>
        <w:separator/>
      </w:r>
    </w:p>
  </w:footnote>
  <w:footnote w:type="continuationSeparator" w:id="0">
    <w:p w:rsidR="002B1B0A" w:rsidRDefault="002B1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DF" w:rsidRDefault="001B35DF" w:rsidP="000639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35DF" w:rsidRDefault="001B35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DF" w:rsidRDefault="001B35DF" w:rsidP="00733325">
    <w:pPr>
      <w:pStyle w:val="a5"/>
      <w:framePr w:wrap="around" w:vAnchor="text" w:hAnchor="margin" w:xAlign="center" w:y="1"/>
      <w:spacing w:line="240" w:lineRule="exac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28C">
      <w:rPr>
        <w:rStyle w:val="a7"/>
        <w:noProof/>
      </w:rPr>
      <w:t>2</w:t>
    </w:r>
    <w:r>
      <w:rPr>
        <w:rStyle w:val="a7"/>
      </w:rPr>
      <w:fldChar w:fldCharType="end"/>
    </w:r>
  </w:p>
  <w:p w:rsidR="001B35DF" w:rsidRDefault="001B35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029"/>
    <w:multiLevelType w:val="hybridMultilevel"/>
    <w:tmpl w:val="8BA81816"/>
    <w:lvl w:ilvl="0" w:tplc="2C8C3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A73C1"/>
    <w:multiLevelType w:val="hybridMultilevel"/>
    <w:tmpl w:val="01FC6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D20005"/>
    <w:multiLevelType w:val="hybridMultilevel"/>
    <w:tmpl w:val="8BA81816"/>
    <w:lvl w:ilvl="0" w:tplc="2C8C3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31"/>
    <w:rsid w:val="0000728C"/>
    <w:rsid w:val="0006396D"/>
    <w:rsid w:val="001834F7"/>
    <w:rsid w:val="001B35DF"/>
    <w:rsid w:val="001B6C00"/>
    <w:rsid w:val="002A31CF"/>
    <w:rsid w:val="002B1B0A"/>
    <w:rsid w:val="003605CA"/>
    <w:rsid w:val="003B71EC"/>
    <w:rsid w:val="00414E11"/>
    <w:rsid w:val="004551F5"/>
    <w:rsid w:val="004D5D20"/>
    <w:rsid w:val="004D6AEF"/>
    <w:rsid w:val="00627CC9"/>
    <w:rsid w:val="006568BD"/>
    <w:rsid w:val="006D6531"/>
    <w:rsid w:val="00733325"/>
    <w:rsid w:val="00753ECF"/>
    <w:rsid w:val="007A30EF"/>
    <w:rsid w:val="007B08B3"/>
    <w:rsid w:val="007E5B39"/>
    <w:rsid w:val="00881C31"/>
    <w:rsid w:val="009022E0"/>
    <w:rsid w:val="00AB56AE"/>
    <w:rsid w:val="00BD112C"/>
    <w:rsid w:val="00C0499B"/>
    <w:rsid w:val="00D06AA0"/>
    <w:rsid w:val="00D5790B"/>
    <w:rsid w:val="00DF0743"/>
    <w:rsid w:val="00DF50B8"/>
    <w:rsid w:val="00E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3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6C00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4D5D2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34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2EF"/>
    <w:rPr>
      <w:lang w:eastAsia="en-US"/>
    </w:rPr>
  </w:style>
  <w:style w:type="character" w:styleId="a7">
    <w:name w:val="page number"/>
    <w:basedOn w:val="a0"/>
    <w:uiPriority w:val="99"/>
    <w:rsid w:val="001834F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333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32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3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332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3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6C00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4D5D2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34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2EF"/>
    <w:rPr>
      <w:lang w:eastAsia="en-US"/>
    </w:rPr>
  </w:style>
  <w:style w:type="character" w:styleId="a7">
    <w:name w:val="page number"/>
    <w:basedOn w:val="a0"/>
    <w:uiPriority w:val="99"/>
    <w:rsid w:val="001834F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333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32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3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33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городского округа Лыткарино</vt:lpstr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городского округа Лыткарино</dc:title>
  <dc:subject/>
  <dc:creator>Анастасия, Анастасия!</dc:creator>
  <cp:keywords/>
  <dc:description/>
  <cp:lastModifiedBy>1</cp:lastModifiedBy>
  <cp:revision>5</cp:revision>
  <cp:lastPrinted>2019-07-24T12:19:00Z</cp:lastPrinted>
  <dcterms:created xsi:type="dcterms:W3CDTF">2019-07-23T15:21:00Z</dcterms:created>
  <dcterms:modified xsi:type="dcterms:W3CDTF">2019-07-24T12:19:00Z</dcterms:modified>
</cp:coreProperties>
</file>